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/>
        <w:jc w:val="center"/>
        <w:rPr>
          <w:rFonts w:eastAsia="黑体"/>
          <w:b/>
          <w:sz w:val="44"/>
          <w:szCs w:val="44"/>
        </w:rPr>
      </w:pPr>
      <w:r>
        <w:rPr>
          <w:rFonts w:eastAsia="黑体"/>
          <w:b/>
          <w:sz w:val="44"/>
          <w:szCs w:val="44"/>
          <w:u w:val="single"/>
        </w:rPr>
        <w:t>202</w:t>
      </w:r>
      <w:r>
        <w:rPr>
          <w:rFonts w:hint="eastAsia" w:eastAsia="黑体"/>
          <w:b/>
          <w:sz w:val="44"/>
          <w:szCs w:val="44"/>
          <w:u w:val="single"/>
        </w:rPr>
        <w:t>2</w:t>
      </w:r>
      <w:r>
        <w:rPr>
          <w:rFonts w:hint="eastAsia" w:eastAsia="黑体"/>
          <w:b/>
          <w:sz w:val="44"/>
          <w:szCs w:val="44"/>
        </w:rPr>
        <w:t>年全国职业院校技能大赛</w:t>
      </w:r>
    </w:p>
    <w:p>
      <w:pPr>
        <w:ind w:firstLine="883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中职组新能源汽车检测与维修赛项</w:t>
      </w:r>
    </w:p>
    <w:p>
      <w:pPr>
        <w:spacing w:before="326" w:beforeLines="100" w:line="240" w:lineRule="auto"/>
        <w:ind w:firstLine="0" w:firstLineChars="0"/>
        <w:jc w:val="center"/>
        <w:rPr>
          <w:rFonts w:ascii="Calibri" w:hAnsi="Calibri" w:eastAsia="黑体"/>
          <w:b/>
          <w:sz w:val="52"/>
          <w:szCs w:val="52"/>
        </w:rPr>
      </w:pPr>
      <w:r>
        <w:rPr>
          <w:rFonts w:hint="eastAsia" w:ascii="Calibri" w:hAnsi="Calibri" w:eastAsia="黑体"/>
          <w:b/>
          <w:sz w:val="52"/>
          <w:szCs w:val="52"/>
        </w:rPr>
        <w:t>职业素养和操作规范评分表</w:t>
      </w:r>
    </w:p>
    <w:p>
      <w:pPr>
        <w:spacing w:line="240" w:lineRule="auto"/>
        <w:ind w:firstLine="0" w:firstLineChars="0"/>
        <w:rPr>
          <w:rFonts w:ascii="Calibri" w:hAnsi="Calibri" w:eastAsia="宋体"/>
          <w:b/>
          <w:sz w:val="32"/>
          <w:szCs w:val="32"/>
        </w:rPr>
      </w:pPr>
    </w:p>
    <w:p>
      <w:pPr>
        <w:spacing w:line="240" w:lineRule="auto"/>
        <w:ind w:firstLine="643"/>
        <w:rPr>
          <w:rFonts w:ascii="Calibri" w:hAnsi="Calibri" w:eastAsia="宋体"/>
          <w:b/>
          <w:sz w:val="32"/>
          <w:szCs w:val="32"/>
        </w:rPr>
      </w:pPr>
      <w:r>
        <w:rPr>
          <w:rFonts w:hint="eastAsia" w:ascii="Calibri" w:hAnsi="Calibri" w:eastAsia="宋体"/>
          <w:b/>
          <w:sz w:val="32"/>
          <w:szCs w:val="32"/>
        </w:rPr>
        <w:t>竞赛模块：新能源汽车故障诊断与排除</w:t>
      </w:r>
    </w:p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8"/>
        <w:gridCol w:w="3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33" w:type="dxa"/>
            <w:gridSpan w:val="2"/>
            <w:shd w:val="clear" w:color="auto" w:fill="FFFFFF"/>
            <w:vAlign w:val="center"/>
          </w:tcPr>
          <w:p>
            <w:pPr>
              <w:spacing w:line="360" w:lineRule="auto"/>
              <w:ind w:firstLine="0" w:firstLineChars="0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竞赛日期：2022年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518" w:type="dxa"/>
            <w:shd w:val="clear" w:color="auto" w:fill="FFFFFF"/>
            <w:vAlign w:val="center"/>
          </w:tcPr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选手身份加密号：</w:t>
            </w:r>
          </w:p>
        </w:tc>
        <w:tc>
          <w:tcPr>
            <w:tcW w:w="3815" w:type="dxa"/>
            <w:shd w:val="clear" w:color="auto" w:fill="FFFFFF"/>
            <w:vAlign w:val="center"/>
          </w:tcPr>
          <w:p>
            <w:pPr>
              <w:spacing w:line="360" w:lineRule="auto"/>
              <w:ind w:firstLine="0" w:firstLineChars="0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竞赛用时：     分     秒</w:t>
            </w:r>
          </w:p>
        </w:tc>
      </w:tr>
    </w:tbl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2583"/>
        <w:gridCol w:w="1689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252" w:type="dxa"/>
            <w:shd w:val="clear" w:color="auto" w:fill="FFFFFF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序号</w:t>
            </w:r>
          </w:p>
        </w:tc>
        <w:tc>
          <w:tcPr>
            <w:tcW w:w="258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项目</w:t>
            </w:r>
          </w:p>
        </w:tc>
        <w:tc>
          <w:tcPr>
            <w:tcW w:w="168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ascii="微软雅黑" w:hAnsi="微软雅黑" w:eastAsia="微软雅黑"/>
                <w:szCs w:val="24"/>
              </w:rPr>
              <w:t>配分</w:t>
            </w:r>
          </w:p>
        </w:tc>
        <w:tc>
          <w:tcPr>
            <w:tcW w:w="3821" w:type="dxa"/>
            <w:shd w:val="clear" w:color="auto" w:fill="FFFFFF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1</w:t>
            </w:r>
          </w:p>
        </w:tc>
        <w:tc>
          <w:tcPr>
            <w:tcW w:w="258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职业素养和操作规范</w:t>
            </w:r>
          </w:p>
        </w:tc>
        <w:tc>
          <w:tcPr>
            <w:tcW w:w="168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30</w:t>
            </w:r>
          </w:p>
        </w:tc>
        <w:tc>
          <w:tcPr>
            <w:tcW w:w="3821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  <w:szCs w:val="24"/>
              </w:rPr>
              <w:t>现场裁判（签字）</w:t>
            </w:r>
          </w:p>
        </w:tc>
        <w:tc>
          <w:tcPr>
            <w:tcW w:w="8093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统分裁判（签字）</w:t>
            </w:r>
          </w:p>
        </w:tc>
        <w:tc>
          <w:tcPr>
            <w:tcW w:w="8093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核分裁判（签字）</w:t>
            </w:r>
          </w:p>
        </w:tc>
        <w:tc>
          <w:tcPr>
            <w:tcW w:w="8093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2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裁 判 长（签字）</w:t>
            </w:r>
          </w:p>
        </w:tc>
        <w:tc>
          <w:tcPr>
            <w:tcW w:w="8093" w:type="dxa"/>
            <w:gridSpan w:val="3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微软雅黑" w:hAnsi="微软雅黑" w:eastAsia="微软雅黑"/>
                <w:szCs w:val="24"/>
              </w:rPr>
            </w:pPr>
          </w:p>
        </w:tc>
      </w:tr>
    </w:tbl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p>
      <w:pPr>
        <w:spacing w:line="240" w:lineRule="auto"/>
        <w:ind w:firstLine="0" w:firstLineChars="0"/>
        <w:rPr>
          <w:rFonts w:ascii="Calibri" w:hAnsi="Calibri" w:eastAsia="宋体"/>
          <w:b/>
          <w:sz w:val="25"/>
          <w:szCs w:val="24"/>
        </w:rPr>
      </w:pPr>
    </w:p>
    <w:p>
      <w:pPr>
        <w:adjustRightInd w:val="0"/>
        <w:snapToGrid w:val="0"/>
        <w:spacing w:after="163" w:afterLines="50" w:line="240" w:lineRule="auto"/>
        <w:ind w:firstLine="0" w:firstLineChars="0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b/>
          <w:sz w:val="22"/>
          <w:szCs w:val="24"/>
        </w:rPr>
        <w:t>裁判须知</w:t>
      </w:r>
      <w:r>
        <w:rPr>
          <w:rFonts w:hint="eastAsia" w:ascii="微软雅黑" w:hAnsi="微软雅黑" w:eastAsia="微软雅黑"/>
          <w:sz w:val="22"/>
          <w:szCs w:val="24"/>
        </w:rPr>
        <w:t>：主副裁判独立评分；使用规定签字笔书写；扣分栏不得空白，未扣分填“0”，扣分填负值；选手未完成作业需扣分并备注“未完成”；修改须签字确认。</w:t>
      </w:r>
      <w:r>
        <w:rPr>
          <w:rFonts w:ascii="微软雅黑" w:hAnsi="微软雅黑" w:eastAsia="微软雅黑"/>
          <w:sz w:val="22"/>
          <w:szCs w:val="24"/>
        </w:rPr>
        <w:br w:type="page"/>
      </w:r>
    </w:p>
    <w:p>
      <w:pPr>
        <w:adjustRightInd w:val="0"/>
        <w:snapToGrid w:val="0"/>
        <w:spacing w:line="240" w:lineRule="auto"/>
        <w:ind w:right="880" w:firstLine="7043" w:firstLineChars="3200"/>
        <w:rPr>
          <w:rFonts w:ascii="微软雅黑" w:hAnsi="微软雅黑" w:eastAsia="微软雅黑" w:cstheme="minorBidi"/>
          <w:b/>
          <w:sz w:val="10"/>
          <w:szCs w:val="10"/>
        </w:rPr>
      </w:pPr>
      <w:r>
        <w:rPr>
          <w:rFonts w:hint="eastAsia" w:ascii="微软雅黑" w:hAnsi="微软雅黑" w:eastAsia="微软雅黑"/>
          <w:b/>
          <w:sz w:val="22"/>
          <w:szCs w:val="22"/>
        </w:rPr>
        <w:t>本部分累计得分</w:t>
      </w:r>
    </w:p>
    <w:tbl>
      <w:tblPr>
        <w:tblStyle w:val="4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60"/>
        <w:gridCol w:w="4948"/>
        <w:gridCol w:w="678"/>
        <w:gridCol w:w="679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序号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作业内容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评分</w:t>
            </w:r>
            <w:r>
              <w:rPr>
                <w:rFonts w:ascii="微软雅黑" w:hAnsi="微软雅黑" w:eastAsia="微软雅黑" w:cstheme="minorBidi"/>
                <w:b/>
                <w:sz w:val="20"/>
              </w:rPr>
              <w:t>要点</w:t>
            </w: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（各竞赛环节漏项或累计最多扣相应配分）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配分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扣分</w:t>
            </w: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b/>
                <w:sz w:val="20"/>
              </w:rPr>
              <w:t>判罚依据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1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作业准备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未检查设置隔离栏，扣0.25分；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未设置安全警示牌，扣0.25分；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未检查灭火器压力值（水基、干粉），扣0.3分；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未安装车辆挡块，扣0.3分；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未安装车外三件套或安装位置不正确的扣0.3分；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操作中翼子板布、格栅布自行脱落的扣0.3分；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trike/>
                <w:color w:val="FF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车内三件套（方向盘、座椅、脚垫）少铺或未铺或撕裂的扣0.3分；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人物安全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未检查绝缘手套密封性或检查时未密封各扣</w:t>
            </w:r>
            <w:r>
              <w:rPr>
                <w:rFonts w:ascii="微软雅黑" w:hAnsi="微软雅黑" w:eastAsia="微软雅黑" w:cstheme="minorBidi"/>
                <w:sz w:val="20"/>
              </w:rPr>
              <w:t>0.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  <w:r>
              <w:rPr>
                <w:rFonts w:ascii="微软雅黑" w:hAnsi="微软雅黑" w:eastAsia="微软雅黑" w:cstheme="minorBidi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未检查绝缘防护手套的耐压等级扣</w:t>
            </w:r>
            <w:r>
              <w:rPr>
                <w:rFonts w:ascii="微软雅黑" w:hAnsi="微软雅黑" w:eastAsia="微软雅黑" w:cstheme="minorBidi"/>
                <w:sz w:val="20"/>
              </w:rPr>
              <w:t>0.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  <w:r>
              <w:rPr>
                <w:rFonts w:ascii="微软雅黑" w:hAnsi="微软雅黑" w:eastAsia="微软雅黑" w:cstheme="minorBidi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未检查防电池电解液酸碱性手套、护目镜、安全帽外观损伤，各扣0</w:t>
            </w:r>
            <w:r>
              <w:rPr>
                <w:rFonts w:ascii="微软雅黑" w:hAnsi="微软雅黑" w:eastAsia="微软雅黑" w:cstheme="minorBidi"/>
                <w:sz w:val="20"/>
              </w:rPr>
              <w:t>.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  <w:r>
              <w:rPr>
                <w:rFonts w:ascii="微软雅黑" w:hAnsi="微软雅黑" w:eastAsia="微软雅黑" w:cstheme="minorBidi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分；不戴安全帽扣</w:t>
            </w:r>
            <w:r>
              <w:rPr>
                <w:rFonts w:ascii="微软雅黑" w:hAnsi="微软雅黑" w:eastAsia="微软雅黑" w:cstheme="minorBidi"/>
                <w:sz w:val="20"/>
              </w:rPr>
              <w:t>0.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  <w:r>
              <w:rPr>
                <w:rFonts w:ascii="微软雅黑" w:hAnsi="微软雅黑" w:eastAsia="微软雅黑" w:cstheme="minorBidi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未穿戴绝缘鞋（进入工位前提前穿戴好）扣0.25分；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未检查确认档位的扣0.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b/>
                <w:sz w:val="20"/>
              </w:rPr>
            </w:pPr>
            <w:r>
              <w:rPr>
                <w:rFonts w:ascii="微软雅黑" w:hAnsi="微软雅黑" w:eastAsia="微软雅黑" w:cstheme="minorBidi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3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设备使用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未进行数字绝缘测试仪开路检测并确认电阻无穷大扣0.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未进行数字绝缘测试仪短路检测并确认电阻＜</w:t>
            </w:r>
            <w:r>
              <w:rPr>
                <w:rFonts w:ascii="微软雅黑" w:hAnsi="微软雅黑" w:eastAsia="微软雅黑" w:cstheme="minorBidi"/>
                <w:sz w:val="20"/>
              </w:rPr>
              <w:t>1Ω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扣</w:t>
            </w:r>
            <w:r>
              <w:rPr>
                <w:rFonts w:ascii="微软雅黑" w:hAnsi="微软雅黑" w:eastAsia="微软雅黑" w:cstheme="minorBidi"/>
                <w:sz w:val="20"/>
              </w:rPr>
              <w:t>0.25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未确认数字绝缘测试仪上“TEST”功能正常扣0.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未选择四点检测绝缘垫绝缘性且佩戴绝缘手套与护目镜，扣0.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未检查数字万用表的电阻量程（校零）扣0.</w:t>
            </w:r>
            <w:r>
              <w:rPr>
                <w:rFonts w:ascii="微软雅黑" w:hAnsi="微软雅黑" w:eastAsia="微软雅黑" w:cstheme="minorBidi"/>
                <w:sz w:val="20"/>
              </w:rPr>
              <w:t>2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5分；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4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sz w:val="20"/>
              </w:rPr>
              <w:t>团队协作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作业时两名选手未互相配合，分工不合理，出现2条主线（各做各的）的，发现一次扣0.5分，最多扣2分；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未在规定时间内完成全部作业，扣</w:t>
            </w:r>
            <w:r>
              <w:rPr>
                <w:rFonts w:ascii="微软雅黑" w:hAnsi="微软雅黑" w:eastAsia="微软雅黑" w:cstheme="minorBidi"/>
                <w:sz w:val="20"/>
              </w:rPr>
              <w:t>1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选手配合时身体发生碰撞，语言发生争执的，发现一次扣0.5分，最多扣2分；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5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作业要求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未在静态和上电时检查蓄电池电压的扣1分；</w:t>
            </w:r>
          </w:p>
          <w:p>
            <w:pPr>
              <w:snapToGrid w:val="0"/>
              <w:spacing w:line="0" w:lineRule="atLeast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未关点火开关，连接诊断仪与车辆诊断口扣0.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故障检测仪使用方法不当（进入和退出要按规定路径）每次扣0.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分；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未查阅维修手册或电路图的扣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1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分；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不正确使用专用连接线扣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0.5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分；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测量低压部分线路未佩戴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耐磨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手套扣0.25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分;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测量高压部分线路未佩戴绝缘手套、护目镜各扣0.25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分，扣完后要求选手佩戴；</w:t>
            </w:r>
          </w:p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未关闭点火开关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，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直接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断开连接器插头，每次</w:t>
            </w: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扣</w:t>
            </w: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0.25分；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ascii="微软雅黑" w:hAnsi="微软雅黑" w:eastAsia="微软雅黑" w:cstheme="minorBidi"/>
                <w:color w:val="000000"/>
                <w:sz w:val="20"/>
              </w:rPr>
              <w:t>5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6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 w:cstheme="minorBidi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现场恢复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未拆卸翼子板布、格栅布的扣0.3分；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未拆卸车内三件套并丢弃到垃圾桶的扣0.3分；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未移除高压警示标识等到指定位置的扣0.3分；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未恢复工位到原标准工位布置状态的扣0.55分；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Theme="minorEastAsia" w:hAnsiTheme="minorEastAsia" w:eastAsiaTheme="minorEastAsia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未将钥匙、作业记录表放至合理位置的扣0.55分；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2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7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安全与5S</w:t>
            </w:r>
          </w:p>
        </w:tc>
        <w:tc>
          <w:tcPr>
            <w:tcW w:w="494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拆装高压组件未执行高压作业断电流程（关闭点火开关→断开</w:t>
            </w:r>
            <w:r>
              <w:rPr>
                <w:rFonts w:ascii="微软雅黑" w:hAnsi="微软雅黑" w:eastAsia="微软雅黑" w:cstheme="minorBidi"/>
                <w:sz w:val="20"/>
              </w:rPr>
              <w:t>TW维修开关→观察仪表电驱动装置警告灯是否点亮→诊断仪读取BMS（J840）测量值“接触器后高电压蓄电池的正级电压”是否接近0V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）的每次扣2分；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执行高压作业断电流程后未进行安全防护（断开</w:t>
            </w:r>
            <w:r>
              <w:rPr>
                <w:rFonts w:ascii="微软雅黑" w:hAnsi="微软雅黑" w:eastAsia="微软雅黑" w:cstheme="minorBidi"/>
                <w:sz w:val="20"/>
              </w:rPr>
              <w:t>TW维修开关后需锁上挂锁，挂锁钥匙交另一选手保管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）的每次扣2分；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烧1次保险丝扣3分；烧2次（含）以上保险丝的扣8分；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仪器、工具、零件跌落一次扣</w:t>
            </w:r>
            <w:r>
              <w:rPr>
                <w:rFonts w:ascii="微软雅黑" w:hAnsi="微软雅黑" w:eastAsia="微软雅黑" w:cstheme="minorBidi"/>
                <w:sz w:val="20"/>
              </w:rPr>
              <w:t>1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分；最多扣5分；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上高压电时未提示每次扣1分；最多扣5分；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工具零件不得放置在没有防护的仪表台及座椅上，否则扣1分；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未按正确安全操作程序，损伤、损毁车辆或竞赛设备，视情节扣2~15分，特别严重安全事故的终止比赛，成绩记0 分；</w:t>
            </w:r>
          </w:p>
          <w:p>
            <w:pPr>
              <w:snapToGrid w:val="0"/>
              <w:spacing w:line="0" w:lineRule="atLeast"/>
              <w:ind w:firstLine="0" w:firstLineChars="0"/>
              <w:jc w:val="left"/>
              <w:rPr>
                <w:rFonts w:ascii="微软雅黑" w:hAnsi="微软雅黑" w:eastAsia="微软雅黑" w:cstheme="minorBidi"/>
                <w:sz w:val="20"/>
              </w:rPr>
            </w:pPr>
            <w:r>
              <w:rPr>
                <w:rFonts w:hint="eastAsia" w:asciiTheme="minorEastAsia" w:hAnsiTheme="minorEastAsia" w:eastAsiaTheme="minorEastAsia" w:cstheme="minorBidi"/>
                <w:color w:val="000000"/>
                <w:sz w:val="20"/>
              </w:rPr>
              <w:t>□</w:t>
            </w:r>
            <w:r>
              <w:rPr>
                <w:rFonts w:hint="eastAsia" w:ascii="微软雅黑" w:hAnsi="微软雅黑" w:eastAsia="微软雅黑" w:cstheme="minorBidi"/>
                <w:sz w:val="20"/>
              </w:rPr>
              <w:t>未按正确安全操作程序，造成人员伤害，视情节扣2~15 分，特别严重安全事故的终止比赛，成绩记0 分；</w:t>
            </w:r>
          </w:p>
        </w:tc>
        <w:tc>
          <w:tcPr>
            <w:tcW w:w="678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sz w:val="20"/>
              </w:rPr>
              <w:t>15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  <w:tc>
          <w:tcPr>
            <w:tcW w:w="1773" w:type="dxa"/>
            <w:shd w:val="clear" w:color="auto" w:fill="FFFFFF" w:themeFill="background1"/>
            <w:vAlign w:val="center"/>
          </w:tcPr>
          <w:p>
            <w:pPr>
              <w:snapToGrid w:val="0"/>
              <w:spacing w:line="0" w:lineRule="atLeast"/>
              <w:ind w:firstLine="0" w:firstLineChars="0"/>
              <w:jc w:val="center"/>
              <w:rPr>
                <w:rFonts w:ascii="微软雅黑" w:hAnsi="微软雅黑" w:eastAsia="微软雅黑" w:cstheme="minorBidi"/>
                <w:color w:val="000000"/>
                <w:sz w:val="20"/>
              </w:rPr>
            </w:pPr>
          </w:p>
        </w:tc>
      </w:tr>
    </w:tbl>
    <w:p>
      <w:pPr>
        <w:adjustRightInd w:val="0"/>
        <w:snapToGrid w:val="0"/>
        <w:spacing w:line="240" w:lineRule="auto"/>
        <w:ind w:firstLine="0" w:firstLineChars="0"/>
        <w:jc w:val="left"/>
        <w:rPr>
          <w:rFonts w:ascii="微软雅黑" w:hAnsi="微软雅黑" w:eastAsia="微软雅黑" w:cstheme="minorBidi"/>
          <w:b/>
          <w:sz w:val="10"/>
          <w:szCs w:val="10"/>
        </w:rPr>
      </w:pPr>
    </w:p>
    <w:p>
      <w:pPr>
        <w:widowControl/>
        <w:adjustRightInd w:val="0"/>
        <w:snapToGrid w:val="0"/>
        <w:spacing w:line="240" w:lineRule="auto"/>
        <w:ind w:firstLine="0" w:firstLineChars="0"/>
        <w:jc w:val="left"/>
        <w:rPr>
          <w:rFonts w:ascii="微软雅黑" w:hAnsi="微软雅黑" w:eastAsia="微软雅黑" w:cstheme="minorBidi"/>
          <w:b/>
          <w:sz w:val="18"/>
          <w:szCs w:val="18"/>
        </w:rPr>
      </w:pPr>
      <w:r>
        <w:rPr>
          <w:rFonts w:hint="eastAsia" w:ascii="微软雅黑" w:hAnsi="微软雅黑" w:eastAsia="微软雅黑" w:cstheme="minorBidi"/>
          <w:b/>
          <w:sz w:val="18"/>
          <w:szCs w:val="18"/>
        </w:rPr>
        <w:t>特殊情况说明：</w:t>
      </w:r>
    </w:p>
    <w:p>
      <w:pPr>
        <w:widowControl/>
        <w:numPr>
          <w:ilvl w:val="0"/>
          <w:numId w:val="1"/>
        </w:numPr>
        <w:adjustRightInd w:val="0"/>
        <w:snapToGrid w:val="0"/>
        <w:spacing w:line="240" w:lineRule="auto"/>
        <w:ind w:firstLine="360" w:firstLineChars="0"/>
        <w:jc w:val="left"/>
        <w:rPr>
          <w:rFonts w:ascii="微软雅黑" w:hAnsi="微软雅黑" w:eastAsia="微软雅黑" w:cstheme="minorBidi"/>
          <w:b/>
          <w:bCs/>
          <w:sz w:val="18"/>
          <w:szCs w:val="18"/>
        </w:rPr>
      </w:pPr>
      <w:r>
        <w:rPr>
          <w:rFonts w:hint="eastAsia" w:ascii="微软雅黑" w:hAnsi="微软雅黑" w:eastAsia="微软雅黑" w:cstheme="minorBidi"/>
          <w:b/>
          <w:bCs/>
          <w:sz w:val="18"/>
          <w:szCs w:val="18"/>
        </w:rPr>
        <w:t>在竞赛过程中出现人员及设备安全隐患，情况严重者（如选手受伤流血，设备无法正常使用），裁判有权终止当场比赛；</w:t>
      </w:r>
    </w:p>
    <w:p>
      <w:pPr>
        <w:widowControl/>
        <w:numPr>
          <w:ilvl w:val="0"/>
          <w:numId w:val="1"/>
        </w:numPr>
        <w:adjustRightInd w:val="0"/>
        <w:snapToGrid w:val="0"/>
        <w:spacing w:line="240" w:lineRule="auto"/>
        <w:ind w:firstLine="360" w:firstLineChars="0"/>
        <w:jc w:val="left"/>
        <w:rPr>
          <w:rFonts w:ascii="微软雅黑" w:hAnsi="微软雅黑" w:eastAsia="微软雅黑" w:cstheme="minorBidi"/>
          <w:b/>
          <w:bCs/>
          <w:sz w:val="18"/>
          <w:szCs w:val="18"/>
        </w:rPr>
      </w:pPr>
      <w:r>
        <w:rPr>
          <w:rFonts w:hint="eastAsia" w:ascii="微软雅黑" w:hAnsi="微软雅黑" w:eastAsia="微软雅黑" w:cstheme="minorBidi"/>
          <w:b/>
          <w:bCs/>
          <w:sz w:val="18"/>
          <w:szCs w:val="18"/>
        </w:rPr>
        <w:t>在竞赛过程中，参赛选手若有不服从裁判、扰乱赛场秩序等行为情节严重的，取消参赛队当场竞赛成绩。有作弊行为的，取消参赛队参赛资格。</w:t>
      </w:r>
    </w:p>
    <w:p>
      <w:pPr>
        <w:widowControl/>
        <w:adjustRightInd w:val="0"/>
        <w:snapToGrid w:val="0"/>
        <w:spacing w:line="240" w:lineRule="auto"/>
        <w:ind w:firstLine="0" w:firstLineChars="0"/>
        <w:jc w:val="left"/>
        <w:rPr>
          <w:rFonts w:ascii="微软雅黑" w:hAnsi="微软雅黑" w:eastAsia="微软雅黑" w:cstheme="minorBidi"/>
          <w:b/>
          <w:sz w:val="18"/>
          <w:szCs w:val="18"/>
        </w:rPr>
      </w:pPr>
      <w:r>
        <w:rPr>
          <w:rFonts w:hint="eastAsia" w:ascii="微软雅黑" w:hAnsi="微软雅黑" w:eastAsia="微软雅黑" w:cstheme="minorBidi"/>
          <w:b/>
          <w:sz w:val="18"/>
          <w:szCs w:val="18"/>
        </w:rPr>
        <w:t>情况说明及处罚：</w:t>
      </w:r>
      <w:r>
        <w:rPr>
          <w:rFonts w:asciiTheme="minorHAnsi" w:hAnsiTheme="minorHAnsi" w:eastAsiaTheme="minorEastAsia" w:cstheme="minorBidi"/>
          <w:sz w:val="21"/>
          <w:szCs w:val="22"/>
        </w:rPr>
        <w:pict>
          <v:line id="直接连接符 5" o:spid="_x0000_s2050" o:spt="20" style="position:absolute;left:0pt;margin-left:7.5pt;margin-top:34.5pt;height:0pt;width:480.5pt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asciiTheme="minorHAnsi" w:hAnsiTheme="minorHAnsi" w:eastAsiaTheme="minorEastAsia" w:cstheme="minorBidi"/>
          <w:sz w:val="21"/>
          <w:szCs w:val="22"/>
        </w:rPr>
        <w:pict>
          <v:line id="直接连接符 6" o:spid="_x0000_s2051" o:spt="20" style="position:absolute;left:0pt;margin-left:7.15pt;margin-top:16.95pt;height:0pt;width:480.5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">
            <v:path arrowok="t"/>
            <v:fill focussize="0,0"/>
            <v:stroke/>
            <v:imagedata o:title=""/>
            <o:lock v:ext="edit"/>
          </v:line>
        </w:pic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720" w:right="720" w:bottom="720" w:left="720" w:header="851" w:footer="992" w:gutter="0"/>
      <w:pgNumType w:start="0"/>
      <w:cols w:space="425" w:num="1"/>
      <w:titlePg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6866713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ind w:firstLine="360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59484818"/>
      <w:docPartObj>
        <w:docPartGallery w:val="autotext"/>
      </w:docPartObj>
    </w:sdtPr>
    <w:sdtContent>
      <w:p>
        <w:pPr>
          <w:pStyle w:val="2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27A81E"/>
    <w:multiLevelType w:val="singleLevel"/>
    <w:tmpl w:val="9327A8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4MGNmN2I3MTFhZjc0YWJjNDhkNjI3MDY0NTM4YjAifQ=="/>
  </w:docVars>
  <w:rsids>
    <w:rsidRoot w:val="00BC06A6"/>
    <w:rsid w:val="00062968"/>
    <w:rsid w:val="00085FA0"/>
    <w:rsid w:val="00121A75"/>
    <w:rsid w:val="0013273F"/>
    <w:rsid w:val="00152012"/>
    <w:rsid w:val="00157503"/>
    <w:rsid w:val="00212D1C"/>
    <w:rsid w:val="00262751"/>
    <w:rsid w:val="00270414"/>
    <w:rsid w:val="002B5460"/>
    <w:rsid w:val="002F553F"/>
    <w:rsid w:val="00315B8A"/>
    <w:rsid w:val="00342318"/>
    <w:rsid w:val="003443F5"/>
    <w:rsid w:val="003465F7"/>
    <w:rsid w:val="0034754B"/>
    <w:rsid w:val="00352642"/>
    <w:rsid w:val="00357314"/>
    <w:rsid w:val="00360062"/>
    <w:rsid w:val="003858F9"/>
    <w:rsid w:val="003969B0"/>
    <w:rsid w:val="003B48ED"/>
    <w:rsid w:val="003C115B"/>
    <w:rsid w:val="00404232"/>
    <w:rsid w:val="004F2D79"/>
    <w:rsid w:val="00572B6C"/>
    <w:rsid w:val="00610124"/>
    <w:rsid w:val="006917EC"/>
    <w:rsid w:val="0069734C"/>
    <w:rsid w:val="006B1F08"/>
    <w:rsid w:val="0077011A"/>
    <w:rsid w:val="007865E7"/>
    <w:rsid w:val="00830F71"/>
    <w:rsid w:val="008473C8"/>
    <w:rsid w:val="00886A05"/>
    <w:rsid w:val="00896D58"/>
    <w:rsid w:val="008A4CC0"/>
    <w:rsid w:val="008E5C2C"/>
    <w:rsid w:val="008F4993"/>
    <w:rsid w:val="008F5C38"/>
    <w:rsid w:val="008F6E15"/>
    <w:rsid w:val="00906896"/>
    <w:rsid w:val="009855E8"/>
    <w:rsid w:val="009921BA"/>
    <w:rsid w:val="009D4693"/>
    <w:rsid w:val="00A44CE6"/>
    <w:rsid w:val="00A46EDE"/>
    <w:rsid w:val="00A958C8"/>
    <w:rsid w:val="00AB5A9A"/>
    <w:rsid w:val="00AD25DD"/>
    <w:rsid w:val="00AD5826"/>
    <w:rsid w:val="00B14B96"/>
    <w:rsid w:val="00BA393C"/>
    <w:rsid w:val="00BC06A6"/>
    <w:rsid w:val="00C02A95"/>
    <w:rsid w:val="00C22CDF"/>
    <w:rsid w:val="00C51B8E"/>
    <w:rsid w:val="00C565C9"/>
    <w:rsid w:val="00C870AF"/>
    <w:rsid w:val="00CB2497"/>
    <w:rsid w:val="00CC5E1D"/>
    <w:rsid w:val="00CE60CE"/>
    <w:rsid w:val="00D9449D"/>
    <w:rsid w:val="00DA0747"/>
    <w:rsid w:val="00DA7D73"/>
    <w:rsid w:val="00E0443C"/>
    <w:rsid w:val="00E665CB"/>
    <w:rsid w:val="00E72448"/>
    <w:rsid w:val="00E75B4B"/>
    <w:rsid w:val="00EA4948"/>
    <w:rsid w:val="00EB2179"/>
    <w:rsid w:val="00EF3CD4"/>
    <w:rsid w:val="00F81BC9"/>
    <w:rsid w:val="00F861E8"/>
    <w:rsid w:val="06D37571"/>
    <w:rsid w:val="189D0C77"/>
    <w:rsid w:val="3327306E"/>
    <w:rsid w:val="3F3A6A3E"/>
    <w:rsid w:val="4CC50AA7"/>
    <w:rsid w:val="4F4708C2"/>
    <w:rsid w:val="69173DFF"/>
    <w:rsid w:val="6D354B5F"/>
    <w:rsid w:val="73885506"/>
    <w:rsid w:val="77684AEC"/>
    <w:rsid w:val="7C2C4FF1"/>
    <w:rsid w:val="7EC31F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723" w:firstLineChars="200"/>
      <w:jc w:val="both"/>
    </w:pPr>
    <w:rPr>
      <w:rFonts w:ascii="仿宋" w:hAnsi="仿宋" w:eastAsia="仿宋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仿宋" w:hAnsi="仿宋" w:eastAsia="仿宋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仿宋" w:hAnsi="仿宋" w:eastAsia="仿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1573</Words>
  <Characters>1686</Characters>
  <Lines>13</Lines>
  <Paragraphs>3</Paragraphs>
  <TotalTime>128</TotalTime>
  <ScaleCrop>false</ScaleCrop>
  <LinksUpToDate>false</LinksUpToDate>
  <CharactersWithSpaces>1707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2019-05-30T14:33:00Z</dcterms:created>
  <dc:creator>lenovo</dc:creator>
  <cp:lastModifiedBy>筱悦</cp:lastModifiedBy>
  <cp:lastPrinted>2019-06-08T09:42:00Z</cp:lastPrinted>
  <dcterms:modified xsi:type="dcterms:W3CDTF">2022-07-22T07:19:41Z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1B72FAEF51534E3B820B213D7AEEC83D</vt:lpwstr>
  </property>
</Properties>
</file>