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jc w:val="center"/>
        <w:outlineLvl w:val="2"/>
        <w:rPr>
          <w:rFonts w:ascii="Helvetica" w:hAnsi="Helvetica" w:eastAsia="宋体" w:cs="Helvetica"/>
          <w:b/>
          <w:bCs/>
          <w:color w:val="303133"/>
          <w:kern w:val="0"/>
          <w:sz w:val="36"/>
          <w:szCs w:val="36"/>
        </w:rPr>
      </w:pPr>
      <w:r>
        <w:rPr>
          <w:rFonts w:ascii="Helvetica" w:hAnsi="Helvetica" w:eastAsia="宋体" w:cs="Helvetica"/>
          <w:b/>
          <w:bCs/>
          <w:color w:val="303133"/>
          <w:kern w:val="0"/>
          <w:sz w:val="36"/>
          <w:szCs w:val="36"/>
        </w:rPr>
        <w:t>云计算开发与运维职业技能等级证书（初级）</w:t>
      </w:r>
    </w:p>
    <w:p>
      <w:pPr>
        <w:widowControl/>
        <w:shd w:val="clear" w:color="auto" w:fill="FFFFFF"/>
        <w:jc w:val="left"/>
        <w:rPr>
          <w:rFonts w:ascii="Helvetica" w:hAnsi="Helvetica" w:eastAsia="宋体" w:cs="Helvetica"/>
          <w:color w:val="303133"/>
          <w:kern w:val="0"/>
          <w:szCs w:val="21"/>
        </w:rPr>
      </w:pPr>
      <w:r>
        <w:rPr>
          <w:rFonts w:ascii="Helvetica" w:hAnsi="Helvetica" w:eastAsia="宋体" w:cs="Helvetica"/>
          <w:b/>
          <w:bCs/>
          <w:color w:val="333333"/>
          <w:kern w:val="0"/>
          <w:sz w:val="24"/>
          <w:szCs w:val="24"/>
        </w:rPr>
        <w:t>颁证机构</w:t>
      </w:r>
    </w:p>
    <w:p>
      <w:pPr>
        <w:widowControl/>
        <w:shd w:val="clear" w:color="auto" w:fill="FFFFFF"/>
        <w:spacing w:line="450" w:lineRule="atLeast"/>
        <w:jc w:val="left"/>
        <w:rPr>
          <w:rFonts w:ascii="Helvetica" w:hAnsi="Helvetica" w:eastAsia="宋体" w:cs="Helvetica"/>
          <w:color w:val="999999"/>
          <w:kern w:val="0"/>
          <w:szCs w:val="21"/>
        </w:rPr>
      </w:pPr>
      <w:r>
        <w:rPr>
          <w:rFonts w:ascii="Helvetica" w:hAnsi="Helvetica" w:eastAsia="宋体" w:cs="Helvetica"/>
          <w:color w:val="999999"/>
          <w:kern w:val="0"/>
          <w:szCs w:val="21"/>
        </w:rPr>
        <w:t>阿里巴巴（中国）有限公司</w:t>
      </w:r>
    </w:p>
    <w:p>
      <w:pPr>
        <w:widowControl/>
        <w:shd w:val="clear" w:color="auto" w:fill="FFFFFF"/>
        <w:jc w:val="left"/>
        <w:rPr>
          <w:rFonts w:ascii="Helvetica" w:hAnsi="Helvetica" w:eastAsia="宋体" w:cs="Helvetica"/>
          <w:color w:val="303133"/>
          <w:kern w:val="0"/>
          <w:szCs w:val="21"/>
        </w:rPr>
      </w:pPr>
      <w:r>
        <w:rPr>
          <w:rFonts w:ascii="Helvetica" w:hAnsi="Helvetica" w:eastAsia="宋体" w:cs="Helvetica"/>
          <w:b/>
          <w:bCs/>
          <w:color w:val="333333"/>
          <w:kern w:val="0"/>
          <w:sz w:val="24"/>
          <w:szCs w:val="24"/>
        </w:rPr>
        <w:t>证书简介</w:t>
      </w:r>
    </w:p>
    <w:p>
      <w:pPr>
        <w:widowControl/>
        <w:shd w:val="clear" w:color="auto" w:fill="FFFFFF"/>
        <w:spacing w:line="450" w:lineRule="atLeast"/>
        <w:jc w:val="left"/>
        <w:rPr>
          <w:rFonts w:ascii="Helvetica" w:hAnsi="Helvetica" w:eastAsia="宋体" w:cs="Helvetica"/>
          <w:color w:val="999999"/>
          <w:kern w:val="0"/>
          <w:szCs w:val="21"/>
        </w:rPr>
      </w:pPr>
      <w:r>
        <w:rPr>
          <w:rFonts w:ascii="Helvetica" w:hAnsi="Helvetica" w:eastAsia="宋体" w:cs="Helvetica"/>
          <w:color w:val="999999"/>
          <w:kern w:val="0"/>
          <w:szCs w:val="21"/>
        </w:rPr>
        <w:t>主要面向云计算开发与运维领域职业技能的培训与考核，涵盖IT技术基础、存储与数据库、弹性计算、云化网络、云安全、中间件与微服务、开发运维、云计算解决方案架构等内容。 云计算开发与运维职业技能等级证书标准定义了云计算开发与运维的知识点、能力域、匹配工作岗位、对应高校专业信息等，技能面向岗位包括但不限于云计算销售经理、云计算技术支持工程师、云计算产品经理、云计算运维工程师、云上数据安全工程师、云计算架构师等。</w:t>
      </w:r>
    </w:p>
    <w:p>
      <w:pPr>
        <w:widowControl/>
        <w:shd w:val="clear" w:color="auto" w:fill="FFFFFF"/>
        <w:jc w:val="left"/>
        <w:rPr>
          <w:rFonts w:ascii="Helvetica" w:hAnsi="Helvetica" w:eastAsia="宋体" w:cs="Helvetica"/>
          <w:color w:val="303133"/>
          <w:kern w:val="0"/>
          <w:szCs w:val="21"/>
        </w:rPr>
      </w:pPr>
      <w:r>
        <w:rPr>
          <w:rFonts w:ascii="Helvetica" w:hAnsi="Helvetica" w:eastAsia="宋体" w:cs="Helvetica"/>
          <w:b/>
          <w:bCs/>
          <w:color w:val="333333"/>
          <w:kern w:val="0"/>
          <w:sz w:val="24"/>
          <w:szCs w:val="24"/>
        </w:rPr>
        <w:t>适用人群</w:t>
      </w:r>
    </w:p>
    <w:p>
      <w:pPr>
        <w:widowControl/>
        <w:shd w:val="clear" w:color="auto" w:fill="FFFFFF"/>
        <w:spacing w:line="450" w:lineRule="atLeast"/>
        <w:jc w:val="left"/>
        <w:rPr>
          <w:rFonts w:ascii="Helvetica" w:hAnsi="Helvetica" w:eastAsia="宋体" w:cs="Helvetica"/>
          <w:color w:val="999999"/>
          <w:kern w:val="0"/>
          <w:szCs w:val="21"/>
        </w:rPr>
      </w:pPr>
      <w:r>
        <w:rPr>
          <w:rFonts w:ascii="Helvetica" w:hAnsi="Helvetica" w:eastAsia="宋体" w:cs="Helvetica"/>
          <w:color w:val="999999"/>
          <w:kern w:val="0"/>
          <w:szCs w:val="21"/>
        </w:rPr>
        <w:t>该证书适用人群包括中等职业学校、高等职业学校、应用型本科学校在读学生，互联网企业、向互联网转型的企业以及进行数字化转型的政府、企事业单位中的相关从业人员。</w:t>
      </w:r>
    </w:p>
    <w:p>
      <w:pPr>
        <w:widowControl/>
        <w:shd w:val="clear" w:color="auto" w:fill="FFFFFF"/>
        <w:jc w:val="left"/>
        <w:rPr>
          <w:rFonts w:ascii="Helvetica" w:hAnsi="Helvetica" w:eastAsia="宋体" w:cs="Helvetica"/>
          <w:color w:val="303133"/>
          <w:kern w:val="0"/>
          <w:szCs w:val="21"/>
        </w:rPr>
      </w:pPr>
      <w:r>
        <w:rPr>
          <w:rFonts w:ascii="Helvetica" w:hAnsi="Helvetica" w:eastAsia="宋体" w:cs="Helvetica"/>
          <w:b/>
          <w:bCs/>
          <w:color w:val="333333"/>
          <w:kern w:val="0"/>
          <w:sz w:val="24"/>
          <w:szCs w:val="24"/>
        </w:rPr>
        <w:t>取证要求</w:t>
      </w:r>
    </w:p>
    <w:p>
      <w:pPr>
        <w:widowControl/>
        <w:shd w:val="clear" w:color="auto" w:fill="FFFFFF"/>
        <w:spacing w:line="450" w:lineRule="atLeast"/>
        <w:jc w:val="left"/>
        <w:rPr>
          <w:rFonts w:ascii="Helvetica" w:hAnsi="Helvetica" w:eastAsia="宋体" w:cs="Helvetica"/>
          <w:color w:val="999999"/>
          <w:kern w:val="0"/>
          <w:szCs w:val="21"/>
        </w:rPr>
      </w:pPr>
      <w:r>
        <w:rPr>
          <w:rFonts w:ascii="Helvetica" w:hAnsi="Helvetica" w:eastAsia="宋体" w:cs="Helvetica"/>
          <w:color w:val="999999"/>
          <w:kern w:val="0"/>
          <w:szCs w:val="21"/>
        </w:rPr>
        <w:t>符合参加云计算开发与运维职业技能等级考试报考条件并通过云计算开发与运维职业技能等级考试。</w:t>
      </w:r>
    </w:p>
    <w:p>
      <w:pPr>
        <w:widowControl/>
        <w:shd w:val="clear" w:color="auto" w:fill="FFFFFF"/>
        <w:jc w:val="left"/>
        <w:rPr>
          <w:rFonts w:ascii="Helvetica" w:hAnsi="Helvetica" w:eastAsia="宋体" w:cs="Helvetica"/>
          <w:color w:val="303133"/>
          <w:kern w:val="0"/>
          <w:szCs w:val="21"/>
        </w:rPr>
      </w:pPr>
      <w:r>
        <w:rPr>
          <w:rFonts w:ascii="Helvetica" w:hAnsi="Helvetica" w:eastAsia="宋体" w:cs="Helvetica"/>
          <w:b/>
          <w:bCs/>
          <w:color w:val="333333"/>
          <w:kern w:val="0"/>
          <w:sz w:val="24"/>
          <w:szCs w:val="24"/>
        </w:rPr>
        <w:t>对应专业</w:t>
      </w:r>
    </w:p>
    <w:tbl>
      <w:tblPr>
        <w:tblStyle w:val="4"/>
        <w:tblW w:w="11985" w:type="dxa"/>
        <w:tblCellSpacing w:w="0" w:type="dxa"/>
        <w:tblInd w:w="0" w:type="dxa"/>
        <w:tblLayout w:type="autofit"/>
        <w:tblCellMar>
          <w:top w:w="0" w:type="dxa"/>
          <w:left w:w="0" w:type="dxa"/>
          <w:bottom w:w="0" w:type="dxa"/>
          <w:right w:w="0" w:type="dxa"/>
        </w:tblCellMar>
      </w:tblPr>
      <w:tblGrid>
        <w:gridCol w:w="3986"/>
        <w:gridCol w:w="1348"/>
        <w:gridCol w:w="3656"/>
        <w:gridCol w:w="2995"/>
      </w:tblGrid>
      <w:tr>
        <w:tblPrEx>
          <w:tblCellMar>
            <w:top w:w="0" w:type="dxa"/>
            <w:left w:w="0" w:type="dxa"/>
            <w:bottom w:w="0" w:type="dxa"/>
            <w:right w:w="0" w:type="dxa"/>
          </w:tblCellMar>
        </w:tblPrEx>
        <w:trPr>
          <w:tblHeader/>
          <w:tblCellSpacing w:w="0" w:type="dxa"/>
        </w:trPr>
        <w:tc>
          <w:tcPr>
            <w:tcW w:w="0" w:type="auto"/>
            <w:tcBorders>
              <w:bottom w:val="single" w:color="EBEEF5" w:sz="6" w:space="0"/>
              <w:right w:val="single" w:color="EBEEF5" w:sz="6" w:space="0"/>
            </w:tcBorders>
            <w:shd w:val="clear" w:color="auto" w:fill="F6F6F6"/>
            <w:noWrap/>
            <w:tcMar>
              <w:top w:w="180" w:type="dxa"/>
              <w:left w:w="0" w:type="dxa"/>
              <w:bottom w:w="180" w:type="dxa"/>
              <w:right w:w="0" w:type="dxa"/>
            </w:tcMar>
            <w:vAlign w:val="center"/>
          </w:tcPr>
          <w:p>
            <w:pPr>
              <w:widowControl/>
              <w:wordWrap w:val="0"/>
              <w:spacing w:line="345" w:lineRule="atLeast"/>
              <w:jc w:val="center"/>
              <w:textAlignment w:val="center"/>
              <w:rPr>
                <w:rFonts w:ascii="宋体" w:hAnsi="宋体" w:eastAsia="宋体" w:cs="宋体"/>
                <w:b/>
                <w:bCs/>
                <w:color w:val="909399"/>
                <w:kern w:val="0"/>
                <w:sz w:val="24"/>
                <w:szCs w:val="24"/>
              </w:rPr>
            </w:pPr>
            <w:r>
              <w:rPr>
                <w:rFonts w:ascii="宋体" w:hAnsi="宋体" w:eastAsia="宋体" w:cs="宋体"/>
                <w:b/>
                <w:bCs/>
                <w:color w:val="909399"/>
                <w:kern w:val="0"/>
                <w:sz w:val="24"/>
                <w:szCs w:val="24"/>
              </w:rPr>
              <w:t>对应院校类型</w:t>
            </w:r>
          </w:p>
        </w:tc>
        <w:tc>
          <w:tcPr>
            <w:tcW w:w="0" w:type="auto"/>
            <w:tcBorders>
              <w:bottom w:val="single" w:color="EBEEF5" w:sz="6" w:space="0"/>
              <w:right w:val="single" w:color="EBEEF5" w:sz="6" w:space="0"/>
            </w:tcBorders>
            <w:shd w:val="clear" w:color="auto" w:fill="F6F6F6"/>
            <w:noWrap/>
            <w:tcMar>
              <w:top w:w="180" w:type="dxa"/>
              <w:left w:w="0" w:type="dxa"/>
              <w:bottom w:w="180" w:type="dxa"/>
              <w:right w:w="0" w:type="dxa"/>
            </w:tcMar>
            <w:vAlign w:val="center"/>
          </w:tcPr>
          <w:p>
            <w:pPr>
              <w:widowControl/>
              <w:wordWrap w:val="0"/>
              <w:spacing w:line="345" w:lineRule="atLeast"/>
              <w:jc w:val="center"/>
              <w:textAlignment w:val="center"/>
              <w:rPr>
                <w:rFonts w:ascii="宋体" w:hAnsi="宋体" w:eastAsia="宋体" w:cs="宋体"/>
                <w:b/>
                <w:bCs/>
                <w:color w:val="909399"/>
                <w:kern w:val="0"/>
                <w:sz w:val="24"/>
                <w:szCs w:val="24"/>
              </w:rPr>
            </w:pPr>
            <w:r>
              <w:rPr>
                <w:rFonts w:ascii="宋体" w:hAnsi="宋体" w:eastAsia="宋体" w:cs="宋体"/>
                <w:b/>
                <w:bCs/>
                <w:color w:val="909399"/>
                <w:kern w:val="0"/>
                <w:sz w:val="24"/>
                <w:szCs w:val="24"/>
              </w:rPr>
              <w:t>专业代码</w:t>
            </w:r>
          </w:p>
        </w:tc>
        <w:tc>
          <w:tcPr>
            <w:tcW w:w="0" w:type="auto"/>
            <w:tcBorders>
              <w:bottom w:val="single" w:color="EBEEF5" w:sz="6" w:space="0"/>
              <w:right w:val="single" w:color="EBEEF5" w:sz="6" w:space="0"/>
            </w:tcBorders>
            <w:shd w:val="clear" w:color="auto" w:fill="F6F6F6"/>
            <w:noWrap/>
            <w:tcMar>
              <w:top w:w="180" w:type="dxa"/>
              <w:left w:w="0" w:type="dxa"/>
              <w:bottom w:w="180" w:type="dxa"/>
              <w:right w:w="0" w:type="dxa"/>
            </w:tcMar>
            <w:vAlign w:val="center"/>
          </w:tcPr>
          <w:p>
            <w:pPr>
              <w:widowControl/>
              <w:wordWrap w:val="0"/>
              <w:spacing w:line="345" w:lineRule="atLeast"/>
              <w:jc w:val="center"/>
              <w:textAlignment w:val="center"/>
              <w:rPr>
                <w:rFonts w:ascii="宋体" w:hAnsi="宋体" w:eastAsia="宋体" w:cs="宋体"/>
                <w:b/>
                <w:bCs/>
                <w:color w:val="909399"/>
                <w:kern w:val="0"/>
                <w:sz w:val="24"/>
                <w:szCs w:val="24"/>
              </w:rPr>
            </w:pPr>
            <w:r>
              <w:rPr>
                <w:rFonts w:ascii="宋体" w:hAnsi="宋体" w:eastAsia="宋体" w:cs="宋体"/>
                <w:b/>
                <w:bCs/>
                <w:color w:val="909399"/>
                <w:kern w:val="0"/>
                <w:sz w:val="24"/>
                <w:szCs w:val="24"/>
              </w:rPr>
              <w:t>专业名称</w:t>
            </w:r>
          </w:p>
        </w:tc>
        <w:tc>
          <w:tcPr>
            <w:tcW w:w="0" w:type="auto"/>
            <w:tcBorders>
              <w:bottom w:val="single" w:color="EBEEF5" w:sz="6" w:space="0"/>
              <w:right w:val="single" w:color="EBEEF5" w:sz="6" w:space="0"/>
            </w:tcBorders>
            <w:shd w:val="clear" w:color="auto" w:fill="F6F6F6"/>
            <w:noWrap/>
            <w:tcMar>
              <w:top w:w="180" w:type="dxa"/>
              <w:left w:w="0" w:type="dxa"/>
              <w:bottom w:w="180" w:type="dxa"/>
              <w:right w:w="0" w:type="dxa"/>
            </w:tcMar>
            <w:vAlign w:val="center"/>
          </w:tcPr>
          <w:p>
            <w:pPr>
              <w:widowControl/>
              <w:wordWrap w:val="0"/>
              <w:spacing w:line="345" w:lineRule="atLeast"/>
              <w:jc w:val="center"/>
              <w:textAlignment w:val="center"/>
              <w:rPr>
                <w:rFonts w:ascii="宋体" w:hAnsi="宋体" w:eastAsia="宋体" w:cs="宋体"/>
                <w:b/>
                <w:bCs/>
                <w:color w:val="909399"/>
                <w:kern w:val="0"/>
                <w:sz w:val="24"/>
                <w:szCs w:val="24"/>
              </w:rPr>
            </w:pPr>
            <w:r>
              <w:rPr>
                <w:rFonts w:ascii="宋体" w:hAnsi="宋体" w:eastAsia="宋体" w:cs="宋体"/>
                <w:b/>
                <w:bCs/>
                <w:color w:val="909399"/>
                <w:kern w:val="0"/>
                <w:sz w:val="24"/>
                <w:szCs w:val="24"/>
              </w:rPr>
              <w:t>专业层次</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080917T</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区块链工程</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080911TK</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网络空间安全</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070102</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信息与计算科学</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080910T</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数据科学与大数据技术</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高职院校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610214</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电子商务技术</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专科</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高职院校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610202</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计算机网络技术</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专科</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高职院校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610205</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软件技术</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专科</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高职院校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610211</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信息安全与管理</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专科</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高职院校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610212</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移动应用开发</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专科</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本科层次职业教育试点学校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810207</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区块链技术与应用</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本科(职业教育试点)</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本科层次职业教育试点学校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810101</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电子信息工程</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本科(职业教育试点)</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本科层次职业教育试点学校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810102</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物联网工程</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本科(职业教育试点)</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本科层次职业教育试点学校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810201</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计算机应用工程</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本科(职业教育试点)</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本科层次职业教育试点学校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810202</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网络工程</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本科(职业教育试点)</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本科层次职业教育试点学校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810203</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软件工程</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本科(职业教育试点)</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本科层次职业教育试点学校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810205</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信息安全与管理</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本科(职业教育试点)</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本科层次职业教育试点学校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810206</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大数据技术与应用</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本科(职业教育试点)</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080706</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信息工程</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中职院校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091900</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物联网技术应用</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中专</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中职院校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092100</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移动应用技术与服务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中专</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中职院校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092000</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网络信息安全</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中专</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中职院校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090800</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软件与信息服务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中专</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中职院校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090700</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网络安防系统安装与维护</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中专</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中职院校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090600</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网站建设与管理</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中专</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中职院校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090500</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计算机网络技术</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中专</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中职院校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090100</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计算机应用</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中专</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高职院校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610206</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软件与信息服务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专科</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高职院校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610101</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电子信息工程技术</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专科</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高职院校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610203</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计算机信息管理</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专科</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高职院校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610201</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计算机应用技术</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专科</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高职院校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610307</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物联网工程技术</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专科</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高职院校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610119</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物联网应用技术</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专科</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高职院校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630401</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信息统计与分析</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专科</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高职院校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610213</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云计算技术与应用</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专科</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080701</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电子信息工程</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120102</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信息管理与信息系统</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080905</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物联网工程</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080904K</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信息安全</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080903</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网络工程</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080902</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软件工程</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080901</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计算机科学与技术</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w:t>
            </w:r>
          </w:p>
        </w:tc>
      </w:tr>
      <w:tr>
        <w:tblPrEx>
          <w:tblCellMar>
            <w:top w:w="0" w:type="dxa"/>
            <w:left w:w="0" w:type="dxa"/>
            <w:bottom w:w="0" w:type="dxa"/>
            <w:right w:w="0" w:type="dxa"/>
          </w:tblCellMar>
        </w:tblPrEx>
        <w:trPr>
          <w:tblCellSpacing w:w="0" w:type="dxa"/>
        </w:trPr>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本科院校</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080702</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电子科学与技术</w:t>
            </w:r>
          </w:p>
        </w:tc>
        <w:tc>
          <w:tcPr>
            <w:tcW w:w="0" w:type="auto"/>
            <w:tcBorders>
              <w:bottom w:val="single" w:color="EBEEF5" w:sz="6" w:space="0"/>
              <w:right w:val="single" w:color="EBEEF5" w:sz="6" w:space="0"/>
            </w:tcBorders>
            <w:shd w:val="clear" w:color="auto" w:fill="FFFFFF"/>
            <w:tcMar>
              <w:top w:w="180" w:type="dxa"/>
              <w:left w:w="0" w:type="dxa"/>
              <w:bottom w:w="180" w:type="dxa"/>
              <w:right w:w="0" w:type="dxa"/>
            </w:tcMar>
            <w:vAlign w:val="center"/>
          </w:tcPr>
          <w:p>
            <w:pPr>
              <w:widowControl/>
              <w:wordWrap w:val="0"/>
              <w:spacing w:line="345" w:lineRule="atLeast"/>
              <w:jc w:val="center"/>
              <w:rPr>
                <w:rFonts w:ascii="宋体" w:hAnsi="宋体" w:eastAsia="宋体" w:cs="宋体"/>
                <w:kern w:val="0"/>
                <w:sz w:val="24"/>
                <w:szCs w:val="24"/>
              </w:rPr>
            </w:pPr>
            <w:r>
              <w:rPr>
                <w:rFonts w:ascii="宋体" w:hAnsi="宋体" w:eastAsia="宋体" w:cs="宋体"/>
                <w:kern w:val="0"/>
                <w:sz w:val="24"/>
                <w:szCs w:val="24"/>
              </w:rPr>
              <w:t>本科</w:t>
            </w:r>
          </w:p>
        </w:tc>
      </w:tr>
    </w:tbl>
    <w:p>
      <w:r>
        <w:drawing>
          <wp:inline distT="0" distB="0" distL="0" distR="0">
            <wp:extent cx="4009390" cy="2962275"/>
            <wp:effectExtent l="0" t="0" r="0" b="0"/>
            <wp:docPr id="1" name="图片 1" descr="https://pvc-e7031f9b-6522-11e9-883f-fa163e9e2c22.obs.cn-north-1.myhuaweicloud.com/prod%2Fimage%2F2020-07-13%2Faf7f9b3a1919413db48c70422e436e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pvc-e7031f9b-6522-11e9-883f-fa163e9e2c22.obs.cn-north-1.myhuaweicloud.com/prod%2Fimage%2F2020-07-13%2Faf7f9b3a1919413db48c70422e436e9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029541" cy="2976724"/>
                    </a:xfrm>
                    <a:prstGeom prst="rect">
                      <a:avLst/>
                    </a:prstGeom>
                    <a:noFill/>
                    <a:ln>
                      <a:noFill/>
                    </a:ln>
                  </pic:spPr>
                </pic:pic>
              </a:graphicData>
            </a:graphic>
          </wp:inline>
        </w:drawing>
      </w:r>
    </w:p>
    <w:p>
      <w:pPr>
        <w:ind w:firstLine="2310" w:firstLineChars="1100"/>
        <w:rPr>
          <w:rFonts w:hint="eastAsia"/>
        </w:rPr>
      </w:pPr>
      <w:bookmarkStart w:id="0" w:name="_GoBack"/>
      <w:bookmarkEnd w:id="0"/>
      <w:r>
        <w:rPr>
          <w:rFonts w:hint="eastAsia"/>
        </w:rPr>
        <w:t>证书</w:t>
      </w:r>
      <w:r>
        <w:t>样板</w:t>
      </w:r>
    </w:p>
    <w:sectPr>
      <w:pgSz w:w="16839" w:h="23814"/>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0AC"/>
    <w:rsid w:val="003269F4"/>
    <w:rsid w:val="00FC70AC"/>
    <w:rsid w:val="60CC2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标题 3 Char"/>
    <w:basedOn w:val="5"/>
    <w:link w:val="2"/>
    <w:uiPriority w:val="9"/>
    <w:rPr>
      <w:rFonts w:ascii="宋体" w:hAnsi="宋体" w:eastAsia="宋体" w:cs="宋体"/>
      <w:b/>
      <w:bCs/>
      <w:kern w:val="0"/>
      <w:sz w:val="27"/>
      <w:szCs w:val="27"/>
    </w:rPr>
  </w:style>
  <w:style w:type="character" w:customStyle="1" w:styleId="8">
    <w:name w:val="text-up-title"/>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3</Pages>
  <Words>229</Words>
  <Characters>1308</Characters>
  <Lines>10</Lines>
  <Paragraphs>3</Paragraphs>
  <TotalTime>5</TotalTime>
  <ScaleCrop>false</ScaleCrop>
  <LinksUpToDate>false</LinksUpToDate>
  <CharactersWithSpaces>1534</CharactersWithSpaces>
  <Application>WPS Office_11.1.0.9826_F1E327BC-269C-435d-A152-05C5408002CA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2020-07-30T01:53:00Z</dcterms:created>
  <dc:creator>deeplm</dc:creator>
  <cp:lastModifiedBy>Administrator</cp:lastModifiedBy>
  <dcterms:modified xsi:type="dcterms:W3CDTF">2020-07-30T02:08:14Z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2052-11.1.0.9826</vt:lpwstr>
  </property>
</Properties>
</file>